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wmf" ContentType="image/x-wmf"/>
  <Override PartName="/word/media/image2.wmf" ContentType="image/x-wmf"/>
  <Override PartName="/word/media/image3.wmf" ContentType="image/x-wmf"/>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300" w:after="200"/>
        <w:jc w:val="center"/>
        <w:rPr>
          <w:rFonts w:ascii="Calibri" w:hAnsi="Calibri" w:cs="Calibri" w:asciiTheme="minorHAnsi" w:cstheme="minorHAnsi" w:hAnsiTheme="minorHAnsi"/>
          <w:bCs/>
          <w:i/>
          <w:i/>
          <w:iCs/>
          <w:color w:val="0033CC"/>
        </w:rPr>
      </w:pPr>
      <w:r>
        <w:rPr>
          <w:rFonts w:cs="Calibri" w:cstheme="minorHAnsi" w:ascii="Calibri" w:hAnsi="Calibri"/>
          <w:bCs/>
          <w:i/>
          <w:iCs/>
          <w:color w:val="0033CC"/>
        </w:rPr>
      </w:r>
    </w:p>
    <w:p>
      <w:pPr>
        <w:pStyle w:val="Normal"/>
        <w:jc w:val="center"/>
        <w:rPr/>
      </w:pPr>
      <w:r>
        <w:rPr>
          <w:rFonts w:cs="Calibri" w:ascii="Calibri" w:hAnsi="Calibri" w:asciiTheme="minorHAnsi" w:cstheme="minorHAnsi" w:hAnsiTheme="minorHAnsi"/>
          <w:b/>
          <w:bCs/>
          <w:i/>
          <w:iCs/>
          <w:color w:val="auto"/>
        </w:rPr>
        <w:t xml:space="preserve">Azienda Sanitaria Provinciale </w:t>
      </w:r>
    </w:p>
    <w:p>
      <w:pPr>
        <w:pStyle w:val="Normal"/>
        <w:jc w:val="center"/>
        <w:rPr/>
      </w:pPr>
      <w:r>
        <w:rPr>
          <w:rFonts w:cs="Calibri" w:ascii="Calibri" w:hAnsi="Calibri" w:asciiTheme="minorHAnsi" w:cstheme="minorHAnsi" w:hAnsiTheme="minorHAnsi"/>
          <w:b/>
          <w:bCs/>
          <w:i/>
          <w:iCs/>
          <w:color w:val="auto"/>
        </w:rPr>
        <w:t>di Catanzaro</w:t>
      </w:r>
    </w:p>
    <w:p>
      <w:pPr>
        <w:pStyle w:val="Normal"/>
        <w:jc w:val="center"/>
        <w:rPr/>
      </w:pPr>
      <w:r>
        <w:rPr>
          <w:rFonts w:cs="Calibri" w:ascii="Calibri" w:hAnsi="Calibri" w:asciiTheme="minorHAnsi" w:cstheme="minorHAnsi" w:hAnsiTheme="minorHAnsi"/>
          <w:b/>
        </w:rPr>
        <w:t>Appalto Specifico</w:t>
      </w:r>
      <w:r>
        <w:rPr>
          <w:rFonts w:cs="Calibri" w:ascii="Calibri" w:hAnsi="Calibri" w:asciiTheme="minorHAnsi" w:cstheme="minorHAnsi" w:hAnsiTheme="minorHAnsi"/>
        </w:rPr>
        <w:t xml:space="preserve"> </w:t>
      </w:r>
      <w:r>
        <w:rPr>
          <w:rFonts w:cs="Calibri" w:ascii="Calibri" w:hAnsi="Calibri"/>
          <w:b/>
          <w:bCs/>
          <w:i/>
          <w:iCs/>
          <w:color w:val="auto"/>
        </w:rPr>
        <w:t>indetto dall’ Asp di Catanzaro per l’affidamento del servizio di vigilanza armata per Rems, Post Rems e Srp di Girifalco nell’ambito dello SDA Servizi di Vigilanza</w:t>
      </w:r>
      <w:r>
        <w:rPr>
          <w:rFonts w:cs="Calibri" w:ascii="Calibri" w:hAnsi="Calibri" w:asciiTheme="minorHAnsi" w:cstheme="minorHAnsi" w:hAnsiTheme="minorHAnsi"/>
          <w:bCs/>
          <w:iCs/>
          <w:color w:val="0033CC"/>
        </w:rPr>
        <w:t xml:space="preserve"> </w:t>
      </w:r>
      <w:r>
        <w:rPr>
          <w:rFonts w:cs="Calibri" w:ascii="Calibri" w:hAnsi="Calibri" w:asciiTheme="minorHAnsi" w:cstheme="minorHAnsi" w:hAnsiTheme="minorHAnsi"/>
          <w:b/>
          <w:bCs/>
          <w:iCs/>
        </w:rPr>
        <w:t>nell’ambito del</w:t>
      </w:r>
    </w:p>
    <w:p>
      <w:pPr>
        <w:pStyle w:val="Normal"/>
        <w:jc w:val="center"/>
        <w:rPr>
          <w:color w:val="000000"/>
        </w:rPr>
      </w:pPr>
      <w:r>
        <w:rPr>
          <w:rFonts w:cs="Calibri" w:ascii="Calibri" w:hAnsi="Calibri" w:asciiTheme="minorHAnsi" w:cstheme="minorHAnsi" w:hAnsiTheme="minorHAnsi"/>
          <w:b/>
          <w:bCs/>
          <w:iCs/>
          <w:color w:val="000000"/>
        </w:rPr>
        <w:t xml:space="preserve">Sistema Dinamico di Acquisizione della Pubblica Amministrazione per i “Servizi di Vigilanza” </w:t>
      </w:r>
    </w:p>
    <w:p>
      <w:pPr>
        <w:pStyle w:val="Normal"/>
        <w:spacing w:before="129" w:after="29"/>
        <w:jc w:val="center"/>
        <w:rPr>
          <w:color w:val="000000"/>
        </w:rPr>
      </w:pPr>
      <w:r>
        <w:rPr>
          <w:rFonts w:cs="Calibri" w:ascii="Calibri" w:hAnsi="Calibri" w:asciiTheme="minorHAnsi" w:cstheme="minorHAnsi" w:hAnsiTheme="minorHAnsi"/>
          <w:b/>
          <w:bCs/>
          <w:iCs/>
          <w:color w:val="000000"/>
        </w:rPr>
        <w:t>LETTERA DI INVITO</w:t>
      </w:r>
    </w:p>
    <w:p>
      <w:pPr>
        <w:pStyle w:val="Normal"/>
        <w:spacing w:before="129" w:after="29"/>
        <w:jc w:val="center"/>
        <w:rPr>
          <w:color w:val="000000"/>
        </w:rPr>
      </w:pPr>
      <w:r>
        <w:rPr>
          <w:rFonts w:cs="Calibri" w:ascii="Calibri" w:hAnsi="Calibri" w:asciiTheme="minorHAnsi" w:cstheme="minorHAnsi" w:hAnsiTheme="minorHAnsi"/>
          <w:color w:val="000000"/>
        </w:rPr>
        <w:t>Nell’ambito del Sistema Dinamico di Acquisizione della Pubblica Amministrazione per i “</w:t>
      </w:r>
      <w:r>
        <w:rPr>
          <w:rFonts w:cs="Calibri" w:ascii="Calibri" w:hAnsi="Calibri" w:asciiTheme="minorHAnsi" w:cstheme="minorHAnsi" w:hAnsiTheme="minorHAnsi"/>
          <w:b/>
          <w:color w:val="000000"/>
        </w:rPr>
        <w:t>Servizi di Vigilanza</w:t>
      </w:r>
      <w:r>
        <w:rPr>
          <w:rFonts w:cs="Calibri" w:ascii="Calibri" w:hAnsi="Calibri" w:asciiTheme="minorHAnsi" w:cstheme="minorHAnsi" w:hAnsiTheme="minorHAnsi"/>
          <w:color w:val="000000"/>
        </w:rPr>
        <w:t>”,</w:t>
      </w:r>
      <w:r>
        <w:rPr>
          <w:rFonts w:cs="Times New Roman" w:ascii="Calibri" w:hAnsi="Calibri"/>
          <w:i/>
          <w:color w:val="000000"/>
          <w:sz w:val="18"/>
          <w:szCs w:val="20"/>
        </w:rPr>
        <w:t xml:space="preserve"> </w:t>
      </w:r>
      <w:r>
        <w:rPr>
          <w:rFonts w:cs="Calibri" w:ascii="Calibri" w:hAnsi="Calibri" w:asciiTheme="minorHAnsi" w:cstheme="minorHAnsi" w:hAnsiTheme="minorHAnsi"/>
          <w:color w:val="000000"/>
        </w:rPr>
        <w:t>l'amministrazione Azienda Sanitaria Provinciale di Catanzaro</w:t>
      </w:r>
    </w:p>
    <w:p>
      <w:pPr>
        <w:pStyle w:val="Normal"/>
        <w:spacing w:before="186" w:after="86"/>
        <w:jc w:val="center"/>
        <w:rPr>
          <w:color w:val="000000"/>
        </w:rPr>
      </w:pPr>
      <w:r>
        <w:rPr>
          <w:rFonts w:cs="Calibri" w:ascii="Calibri" w:hAnsi="Calibri" w:asciiTheme="minorHAnsi" w:cstheme="minorHAnsi" w:hAnsiTheme="minorHAnsi"/>
          <w:b/>
          <w:bCs/>
          <w:iCs/>
          <w:color w:val="000000"/>
        </w:rPr>
        <w:t>INVITA</w:t>
      </w:r>
    </w:p>
    <w:p>
      <w:pPr>
        <w:pStyle w:val="Normal"/>
        <w:rPr>
          <w:color w:val="000000"/>
        </w:rPr>
      </w:pPr>
      <w:r>
        <w:rPr>
          <w:rFonts w:cs="Calibri" w:ascii="Calibri" w:hAnsi="Calibri" w:asciiTheme="minorHAnsi" w:cstheme="minorHAnsi" w:hAnsiTheme="minorHAnsi"/>
          <w:color w:val="000000"/>
        </w:rPr>
        <w:t xml:space="preserve">con la presente tutti gli operatori economici ammessi alle categorie merceologiche oggetto dell'Appalto Specifico </w:t>
      </w:r>
      <w:r>
        <w:rPr>
          <w:rFonts w:cs="Calibri" w:ascii="Calibri" w:hAnsi="Calibri"/>
          <w:bCs/>
          <w:i/>
          <w:iCs/>
          <w:color w:val="000000"/>
        </w:rPr>
        <w:t xml:space="preserve">indetto dall’ Asp di Catanzaro per l’affidamento del servizio di vigilanza armata per Rems, Post Rems e Srp di Girifalco nell’ambito dello SDA Servizi di Vigilanza </w:t>
      </w:r>
      <w:r>
        <w:rPr>
          <w:rFonts w:cs="Calibri" w:ascii="Calibri" w:hAnsi="Calibri" w:asciiTheme="minorHAnsi" w:cstheme="minorHAnsi" w:hAnsiTheme="minorHAnsi"/>
          <w:color w:val="000000"/>
        </w:rPr>
        <w:t>e in possesso, in forma singola o raggruppata, dei requisiti indicati nella documentazione di gara, a presentare un'offerta avente ad oggetto quanto descritto nella documentazione. Si ribadisce che potranno partecipare al confronto competitivo esclusivamente gli operatori economici in possesso dei requisiti eventualmente prescritti nella documentazione dell’Appalto Specifico, reperibile presso www.acquistinretepa.it nell’apposita sezione riservata agli invitati.</w:t>
      </w:r>
    </w:p>
    <w:p>
      <w:pPr>
        <w:pStyle w:val="Normal"/>
        <w:rPr/>
      </w:pPr>
      <w:r>
        <w:rPr>
          <w:rFonts w:cs="Calibri" w:ascii="Calibri" w:hAnsi="Calibri" w:asciiTheme="minorHAnsi" w:cstheme="minorHAnsi" w:hAnsiTheme="minorHAnsi"/>
          <w:color w:val="000000"/>
        </w:rPr>
        <w:t>I chiarimenti dovranno essere inviati entro il:  2</w:t>
      </w:r>
      <w:r>
        <w:rPr>
          <w:rFonts w:cs="Calibri" w:ascii="Calibri" w:hAnsi="Calibri" w:asciiTheme="minorHAnsi" w:cstheme="minorHAnsi" w:hAnsiTheme="minorHAnsi"/>
          <w:color w:val="000000"/>
        </w:rPr>
        <w:t>4</w:t>
      </w:r>
      <w:r>
        <w:rPr>
          <w:rFonts w:cs="Calibri" w:ascii="Calibri" w:hAnsi="Calibri" w:asciiTheme="minorHAnsi" w:cstheme="minorHAnsi" w:hAnsiTheme="minorHAnsi"/>
          <w:color w:val="000000"/>
        </w:rPr>
        <w:t>.03.2025 ore 10:00.</w:t>
      </w:r>
    </w:p>
    <w:p>
      <w:pPr>
        <w:pStyle w:val="Normal"/>
        <w:rPr/>
      </w:pPr>
      <w:r>
        <w:rPr>
          <w:rFonts w:cs="Calibri" w:ascii="Calibri" w:hAnsi="Calibri" w:asciiTheme="minorHAnsi" w:cstheme="minorHAnsi" w:hAnsiTheme="minorHAnsi"/>
          <w:color w:val="000000"/>
        </w:rPr>
        <w:t>La richiesta di sopralluogo dovrà pervenire entro il 0</w:t>
      </w:r>
      <w:r>
        <w:rPr>
          <w:rFonts w:cs="Calibri" w:ascii="Calibri" w:hAnsi="Calibri" w:asciiTheme="minorHAnsi" w:cstheme="minorHAnsi" w:hAnsiTheme="minorHAnsi"/>
          <w:color w:val="000000"/>
        </w:rPr>
        <w:t>6</w:t>
      </w:r>
      <w:r>
        <w:rPr>
          <w:rFonts w:cs="Calibri" w:ascii="Calibri" w:hAnsi="Calibri" w:asciiTheme="minorHAnsi" w:cstheme="minorHAnsi" w:hAnsiTheme="minorHAnsi"/>
          <w:color w:val="000000"/>
        </w:rPr>
        <w:t>.03.2025 ore 10:00 tramite l’Area Comunicazioni del Sistema.</w:t>
      </w:r>
    </w:p>
    <w:p>
      <w:pPr>
        <w:pStyle w:val="Normal"/>
        <w:spacing w:lineRule="auto" w:line="276"/>
        <w:rPr/>
      </w:pPr>
      <w:r>
        <w:rPr>
          <w:rFonts w:cs="Calibri" w:ascii="Calibri" w:hAnsi="Calibri" w:asciiTheme="minorHAnsi" w:cstheme="minorHAnsi" w:hAnsiTheme="minorHAnsi"/>
          <w:color w:val="000000"/>
        </w:rPr>
        <w:t xml:space="preserve">L'offerta dovrà essere presentata inderogabilmente attraverso il Sistema di e-Procurement entro e non oltre il termine del </w:t>
      </w:r>
      <w:r>
        <w:rPr>
          <w:rFonts w:cs="Calibri" w:ascii="Calibri" w:hAnsi="Calibri" w:asciiTheme="minorHAnsi" w:cstheme="minorHAnsi" w:hAnsiTheme="minorHAnsi"/>
          <w:color w:val="000000"/>
        </w:rPr>
        <w:t>02.04</w:t>
      </w:r>
      <w:r>
        <w:rPr>
          <w:rFonts w:cs="Calibri" w:ascii="Calibri" w:hAnsi="Calibri" w:asciiTheme="minorHAnsi" w:cstheme="minorHAnsi" w:hAnsiTheme="minorHAnsi"/>
          <w:color w:val="000000"/>
        </w:rPr>
        <w:t>.2025 ore 12:00</w:t>
      </w:r>
      <w:r>
        <w:rPr>
          <w:rFonts w:cs="Calibri" w:ascii="Calibri" w:hAnsi="Calibri" w:asciiTheme="minorHAnsi" w:cstheme="minorHAnsi" w:hAnsiTheme="minorHAnsi"/>
          <w:bCs/>
          <w:i/>
          <w:iCs/>
          <w:color w:val="000000"/>
        </w:rPr>
        <w:t xml:space="preserve">, </w:t>
      </w:r>
      <w:r>
        <w:rPr>
          <w:rFonts w:cs="Calibri" w:ascii="Calibri" w:hAnsi="Calibri" w:asciiTheme="minorHAnsi" w:cstheme="minorHAnsi" w:hAnsiTheme="minorHAnsi"/>
          <w:color w:val="000000"/>
        </w:rPr>
        <w:t>a pena di inammissibilità, secondo le modalità indicate nella documentazione dell'Appalto Specifico.</w:t>
      </w:r>
    </w:p>
    <w:p>
      <w:pPr>
        <w:pStyle w:val="Normal"/>
        <w:rPr>
          <w:color w:val="000000"/>
        </w:rPr>
      </w:pPr>
      <w:r>
        <w:rPr>
          <w:rFonts w:eastAsia="Times New Roman" w:cs="Calibri" w:ascii="Calibri" w:hAnsi="Calibri" w:asciiTheme="minorHAnsi" w:cstheme="minorHAnsi" w:hAnsiTheme="minorHAnsi"/>
          <w:color w:val="000000"/>
          <w:lang w:eastAsia="it-IT"/>
        </w:rPr>
        <w:t xml:space="preserve"> </w:t>
      </w:r>
      <w:r>
        <w:rPr>
          <w:rFonts w:eastAsia="Times New Roman" w:cs="Calibri" w:ascii="Calibri" w:hAnsi="Calibri" w:asciiTheme="minorHAnsi" w:cstheme="minorHAnsi" w:hAnsiTheme="minorHAnsi"/>
          <w:color w:val="000000"/>
          <w:sz w:val="20"/>
          <w:lang w:eastAsia="it-IT"/>
        </w:rPr>
        <w:t xml:space="preserve">La seduta pubblica verrà comunicata mediante SISTEMA due giorni prima della data fissata. </w:t>
      </w:r>
    </w:p>
    <w:p>
      <w:pPr>
        <w:pStyle w:val="Normal"/>
        <w:spacing w:before="300" w:after="200"/>
        <w:rPr/>
      </w:pPr>
      <w:r>
        <w:rPr>
          <w:rFonts w:cs="Calibri" w:ascii="Calibri" w:hAnsi="Calibri" w:asciiTheme="minorHAnsi" w:cstheme="minorHAnsi" w:hAnsiTheme="minorHAnsi"/>
          <w:color w:val="000000"/>
        </w:rPr>
        <w:t>L'aggiudicazione dell’appalto specifico avverrà secondo i</w:t>
      </w:r>
      <w:r>
        <w:rPr>
          <w:rFonts w:cs="Calibri" w:ascii="Calibri" w:hAnsi="Calibri" w:asciiTheme="minorHAnsi" w:cstheme="minorHAnsi" w:hAnsiTheme="minorHAnsi"/>
          <w:color w:val="000000"/>
          <w:szCs w:val="20"/>
        </w:rPr>
        <w:t>l criterio dell’offerta economicamente più vantaggiosa individuata sulla base del miglior rapporto qualità prezzo</w:t>
      </w:r>
      <w:r>
        <w:rPr>
          <w:rFonts w:cs="Calibri" w:ascii="Calibri" w:hAnsi="Calibri" w:asciiTheme="minorHAnsi" w:cstheme="minorHAnsi" w:hAnsiTheme="minorHAnsi"/>
          <w:bCs/>
          <w:i/>
          <w:iCs/>
          <w:color w:val="000000"/>
          <w:szCs w:val="20"/>
        </w:rPr>
        <w:t xml:space="preserve">, </w:t>
      </w:r>
      <w:r>
        <w:rPr>
          <w:rFonts w:cs="Calibri" w:ascii="Calibri" w:hAnsi="Calibri" w:asciiTheme="minorHAnsi" w:cstheme="minorHAnsi" w:hAnsiTheme="minorHAnsi"/>
          <w:color w:val="000000"/>
          <w:szCs w:val="20"/>
        </w:rPr>
        <w:t>ai sensi dell’art. 108 del Codice</w:t>
      </w:r>
      <w:r>
        <w:rPr>
          <w:rFonts w:cs="Calibri" w:ascii="Calibri" w:hAnsi="Calibri" w:asciiTheme="minorHAnsi" w:cstheme="minorHAnsi" w:hAnsiTheme="minorHAnsi"/>
          <w:color w:val="000000"/>
        </w:rPr>
        <w:t>.</w:t>
      </w:r>
    </w:p>
    <w:sectPr>
      <w:headerReference w:type="default" r:id="rId2"/>
      <w:footerReference w:type="default" r:id="rId3"/>
      <w:type w:val="nextPage"/>
      <w:pgSz w:w="11906" w:h="16838"/>
      <w:pgMar w:left="1134" w:right="1134" w:header="454" w:top="1418" w:footer="169" w:bottom="156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 Sans">
    <w:charset w:val="00"/>
    <w:family w:val="roman"/>
    <w:pitch w:val="variable"/>
  </w:font>
  <w:font w:name="Liberation Sans">
    <w:altName w:val="Arial"/>
    <w:charset w:val="00"/>
    <w:family w:val="roman"/>
    <w:pitch w:val="variable"/>
  </w:font>
  <w:font w:name="Lucida Consol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Style w:val="Grigliatabella"/>
      <w:tblW w:w="8642" w:type="dxa"/>
      <w:jc w:val="center"/>
      <w:tblInd w:w="0" w:type="dxa"/>
      <w:tblCellMar>
        <w:top w:w="0" w:type="dxa"/>
        <w:left w:w="108" w:type="dxa"/>
        <w:bottom w:w="0" w:type="dxa"/>
        <w:right w:w="108" w:type="dxa"/>
      </w:tblCellMar>
      <w:tblLook w:firstRow="1" w:noVBand="1" w:lastRow="0" w:firstColumn="1" w:lastColumn="0" w:noHBand="0" w:val="04a0"/>
    </w:tblPr>
    <w:tblGrid>
      <w:gridCol w:w="4813"/>
      <w:gridCol w:w="3828"/>
    </w:tblGrid>
    <w:tr>
      <w:trPr/>
      <w:tc>
        <w:tcPr>
          <w:tcW w:w="4813" w:type="dxa"/>
          <w:tcBorders>
            <w:top w:val="single" w:sz="4" w:space="0" w:color="FFFFFF"/>
            <w:left w:val="single" w:sz="4" w:space="0" w:color="FFFFFF"/>
            <w:bottom w:val="single" w:sz="4" w:space="0" w:color="FFFFFF"/>
            <w:right w:val="single" w:sz="4" w:space="0" w:color="FFFFFF"/>
          </w:tcBorders>
          <w:shd w:color="auto" w:fill="auto" w:val="clear"/>
          <w:vAlign w:val="center"/>
        </w:tcPr>
        <w:p>
          <w:pPr>
            <w:pStyle w:val="CLASSIFICAZIONEFOOTER"/>
            <w:spacing w:lineRule="auto" w:line="240" w:before="0" w:after="0"/>
            <w:rPr/>
          </w:pPr>
          <w:r>
            <w:rPr/>
          </w:r>
        </w:p>
        <w:p>
          <w:pPr>
            <w:pStyle w:val="Pidipagina"/>
            <w:rPr/>
          </w:pPr>
          <w:r>
            <w:rPr/>
            <w:drawing>
              <wp:inline distT="0" distB="0" distL="0" distR="0">
                <wp:extent cx="1449070" cy="370205"/>
                <wp:effectExtent l="0" t="0" r="0" b="0"/>
                <wp:docPr id="3" name="Immagine 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66" descr=""/>
                        <pic:cNvPicPr>
                          <a:picLocks noChangeAspect="1" noChangeArrowheads="1"/>
                        </pic:cNvPicPr>
                      </pic:nvPicPr>
                      <pic:blipFill>
                        <a:blip r:embed="rId1"/>
                        <a:stretch>
                          <a:fillRect/>
                        </a:stretch>
                      </pic:blipFill>
                      <pic:spPr bwMode="auto">
                        <a:xfrm>
                          <a:off x="0" y="0"/>
                          <a:ext cx="1449070" cy="370205"/>
                        </a:xfrm>
                        <a:prstGeom prst="rect">
                          <a:avLst/>
                        </a:prstGeom>
                      </pic:spPr>
                    </pic:pic>
                  </a:graphicData>
                </a:graphic>
              </wp:inline>
            </w:drawing>
          </w:r>
        </w:p>
      </w:tc>
      <w:tc>
        <w:tcPr>
          <w:tcW w:w="3828" w:type="dxa"/>
          <w:tcBorders>
            <w:top w:val="single" w:sz="4" w:space="0" w:color="FFFFFF"/>
            <w:left w:val="single" w:sz="4" w:space="0" w:color="FFFFFF"/>
            <w:bottom w:val="single" w:sz="4" w:space="0" w:color="FFFFFF"/>
            <w:right w:val="single" w:sz="4" w:space="0" w:color="FFFFFF"/>
          </w:tcBorders>
          <w:shd w:color="auto" w:fill="auto" w:val="clear"/>
          <w:vAlign w:val="center"/>
        </w:tcPr>
        <w:p>
          <w:pPr>
            <w:pStyle w:val="Pidipagina"/>
            <w:jc w:val="right"/>
            <w:rPr/>
          </w:pPr>
          <w:r>
            <w:rPr/>
            <w:drawing>
              <wp:inline distT="0" distB="0" distL="0" distR="0">
                <wp:extent cx="2118995" cy="445135"/>
                <wp:effectExtent l="0" t="0" r="0" b="0"/>
                <wp:docPr id="4" name="Immagine 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7" descr=""/>
                        <pic:cNvPicPr>
                          <a:picLocks noChangeAspect="1" noChangeArrowheads="1"/>
                        </pic:cNvPicPr>
                      </pic:nvPicPr>
                      <pic:blipFill>
                        <a:blip r:embed="rId2"/>
                        <a:stretch>
                          <a:fillRect/>
                        </a:stretch>
                      </pic:blipFill>
                      <pic:spPr bwMode="auto">
                        <a:xfrm>
                          <a:off x="0" y="0"/>
                          <a:ext cx="2118995" cy="445135"/>
                        </a:xfrm>
                        <a:prstGeom prst="rect">
                          <a:avLst/>
                        </a:prstGeom>
                      </pic:spPr>
                    </pic:pic>
                  </a:graphicData>
                </a:graphic>
              </wp:inline>
            </w:drawing>
          </w:r>
        </w:p>
      </w:tc>
    </w:tr>
  </w:tbl>
  <w:p>
    <w:pPr>
      <w:pStyle w:val="Pidipa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mc:AlternateContent>
        <mc:Choice Requires="wps">
          <w:drawing>
            <wp:anchor behindDoc="1" distT="0" distB="0" distL="0" distR="0" simplePos="0" locked="0" layoutInCell="1" allowOverlap="1" relativeHeight="2" wp14:anchorId="128FCC95">
              <wp:simplePos x="0" y="0"/>
              <wp:positionH relativeFrom="page">
                <wp:align>left</wp:align>
              </wp:positionH>
              <wp:positionV relativeFrom="paragraph">
                <wp:posOffset>397510</wp:posOffset>
              </wp:positionV>
              <wp:extent cx="3089275" cy="47625"/>
              <wp:effectExtent l="0" t="0" r="0" b="0"/>
              <wp:wrapNone/>
              <wp:docPr id="1" name="Rettangolo 1"/>
              <a:graphic xmlns:a="http://schemas.openxmlformats.org/drawingml/2006/main">
                <a:graphicData uri="http://schemas.microsoft.com/office/word/2010/wordprocessingShape">
                  <wps:wsp>
                    <wps:cNvSpPr/>
                    <wps:spPr>
                      <a:xfrm>
                        <a:off x="0" y="0"/>
                        <a:ext cx="3088800" cy="47160"/>
                      </a:xfrm>
                      <a:prstGeom prst="rect">
                        <a:avLst/>
                      </a:prstGeom>
                      <a:solidFill>
                        <a:srgbClr val="821b4c"/>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tangolo 1" fillcolor="#821b4c" stroked="f" style="position:absolute;margin-left:0pt;margin-top:31.3pt;width:243.15pt;height:3.65pt;mso-position-horizontal:left;mso-position-horizontal-relative:page" wp14:anchorId="128FCC95">
              <w10:wrap type="none"/>
              <v:fill o:detectmouseclick="t" type="solid" color2="#7de4b3"/>
              <v:stroke color="#3465a4" weight="12600" joinstyle="miter" endcap="flat"/>
            </v:rect>
          </w:pict>
        </mc:Fallback>
      </mc:AlternateContent>
      <w:drawing>
        <wp:anchor behindDoc="1" distT="0" distB="7620" distL="0" distR="114300" simplePos="0" locked="0" layoutInCell="1" allowOverlap="1" relativeHeight="3">
          <wp:simplePos x="0" y="0"/>
          <wp:positionH relativeFrom="margin">
            <wp:align>left</wp:align>
          </wp:positionH>
          <wp:positionV relativeFrom="paragraph">
            <wp:posOffset>-21590</wp:posOffset>
          </wp:positionV>
          <wp:extent cx="2363470" cy="353695"/>
          <wp:effectExtent l="0" t="0" r="0" b="0"/>
          <wp:wrapSquare wrapText="bothSides"/>
          <wp:docPr id="2" name="Immagine 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65" descr=""/>
                  <pic:cNvPicPr>
                    <a:picLocks noChangeAspect="1" noChangeArrowheads="1"/>
                  </pic:cNvPicPr>
                </pic:nvPicPr>
                <pic:blipFill>
                  <a:blip r:embed="rId1"/>
                  <a:stretch>
                    <a:fillRect/>
                  </a:stretch>
                </pic:blipFill>
                <pic:spPr bwMode="auto">
                  <a:xfrm>
                    <a:off x="0" y="0"/>
                    <a:ext cx="2363470" cy="353695"/>
                  </a:xfrm>
                  <a:prstGeom prst="rect">
                    <a:avLst/>
                  </a:prstGeom>
                </pic:spPr>
              </pic:pic>
            </a:graphicData>
          </a:graphic>
        </wp:anchor>
      </w:drawing>
    </w:r>
  </w:p>
  <w:p>
    <w:pPr>
      <w:pStyle w:val="TAGTECNICI"/>
      <w:rPr/>
    </w:pPr>
    <w:r>
      <w:rPr/>
      <w:t xml:space="preserve">     </w:t>
    </w:r>
  </w:p>
  <w:p>
    <w:pPr>
      <w:pStyle w:val="TAGTECNICI"/>
      <w:widowControl/>
      <w:bidi w:val="0"/>
      <w:spacing w:lineRule="auto" w:line="259" w:before="0" w:after="160"/>
      <w:jc w:val="both"/>
      <w:rPr/>
    </w:pPr>
    <w:r>
      <w:rPr/>
    </w:r>
  </w:p>
</w:hdr>
</file>

<file path=word/settings.xml><?xml version="1.0" encoding="utf-8"?>
<w:settings xmlns:w="http://schemas.openxmlformats.org/wordprocessingml/2006/main">
  <w:zoom w:percent="12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6ca2"/>
    <w:pPr>
      <w:widowControl/>
      <w:bidi w:val="0"/>
      <w:spacing w:lineRule="auto" w:line="300" w:before="300" w:after="200"/>
      <w:jc w:val="both"/>
    </w:pPr>
    <w:rPr>
      <w:rFonts w:ascii="Open Sans" w:hAnsi="Open Sans" w:eastAsia="Times New Roman" w:cs="Open Sans"/>
      <w:color w:val="534D49"/>
      <w:kern w:val="0"/>
      <w:sz w:val="20"/>
      <w:szCs w:val="22"/>
      <w:lang w:val="it-IT" w:eastAsia="it-IT" w:bidi="ar-SA"/>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link w:val="Intestazione"/>
    <w:uiPriority w:val="99"/>
    <w:qFormat/>
    <w:rsid w:val="00cc1b07"/>
    <w:rPr/>
  </w:style>
  <w:style w:type="character" w:styleId="PidipaginaCarattere" w:customStyle="1">
    <w:name w:val="Piè di pagina Carattere"/>
    <w:basedOn w:val="DefaultParagraphFont"/>
    <w:link w:val="Pidipagina"/>
    <w:uiPriority w:val="99"/>
    <w:qFormat/>
    <w:rsid w:val="00cc1b07"/>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Lucida Sans"/>
    </w:rPr>
  </w:style>
  <w:style w:type="paragraph" w:styleId="Titoloprincipale">
    <w:name w:val="Title"/>
    <w:basedOn w:val="Normal"/>
    <w:next w:val="Corpodeltes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Intestazione">
    <w:name w:val="Header"/>
    <w:basedOn w:val="Normal"/>
    <w:link w:val="IntestazioneCarattere"/>
    <w:uiPriority w:val="99"/>
    <w:unhideWhenUsed/>
    <w:rsid w:val="00cc1b07"/>
    <w:pPr>
      <w:tabs>
        <w:tab w:val="clear" w:pos="720"/>
        <w:tab w:val="center" w:pos="4819" w:leader="none"/>
        <w:tab w:val="right" w:pos="9638" w:leader="none"/>
      </w:tabs>
      <w:spacing w:lineRule="auto" w:line="240" w:before="0" w:after="0"/>
      <w:jc w:val="left"/>
    </w:pPr>
    <w:rPr>
      <w:rFonts w:ascii="Calibri" w:hAnsi="Calibri" w:eastAsia="Calibri" w:cs="" w:asciiTheme="minorHAnsi" w:cstheme="minorBidi" w:eastAsiaTheme="minorHAnsi" w:hAnsiTheme="minorHAnsi"/>
      <w:color w:val="auto"/>
      <w:sz w:val="22"/>
      <w:lang w:eastAsia="en-US"/>
    </w:rPr>
  </w:style>
  <w:style w:type="paragraph" w:styleId="Pidipagina">
    <w:name w:val="Footer"/>
    <w:basedOn w:val="Normal"/>
    <w:link w:val="PidipaginaCarattere"/>
    <w:uiPriority w:val="99"/>
    <w:unhideWhenUsed/>
    <w:rsid w:val="00cc1b07"/>
    <w:pPr>
      <w:tabs>
        <w:tab w:val="clear" w:pos="720"/>
        <w:tab w:val="center" w:pos="4819" w:leader="none"/>
        <w:tab w:val="right" w:pos="9638" w:leader="none"/>
      </w:tabs>
      <w:spacing w:lineRule="auto" w:line="240" w:before="0" w:after="0"/>
      <w:jc w:val="left"/>
    </w:pPr>
    <w:rPr>
      <w:rFonts w:ascii="Calibri" w:hAnsi="Calibri" w:eastAsia="Calibri" w:cs="" w:asciiTheme="minorHAnsi" w:cstheme="minorBidi" w:eastAsiaTheme="minorHAnsi" w:hAnsiTheme="minorHAnsi"/>
      <w:color w:val="auto"/>
      <w:sz w:val="22"/>
      <w:lang w:eastAsia="en-US"/>
    </w:rPr>
  </w:style>
  <w:style w:type="paragraph" w:styleId="TAGTECNICI" w:customStyle="1">
    <w:name w:val="TAGTECNICI"/>
    <w:uiPriority w:val="1"/>
    <w:semiHidden/>
    <w:unhideWhenUsed/>
    <w:qFormat/>
    <w:locked/>
    <w:pPr>
      <w:widowControl/>
      <w:bidi w:val="0"/>
      <w:spacing w:lineRule="auto" w:line="259" w:before="0" w:after="160"/>
      <w:jc w:val="both"/>
    </w:pPr>
    <w:rPr>
      <w:rFonts w:ascii="Lucida Console" w:hAnsi="Lucida Console" w:eastAsia="Calibri" w:cs=""/>
      <w:b/>
      <w:i/>
      <w:color w:val="000000" w:themeColor="dark1"/>
      <w:kern w:val="0"/>
      <w:sz w:val="1"/>
      <w:szCs w:val="22"/>
      <w:lang w:val="it-IT" w:eastAsia="en-US" w:bidi="ar-SA"/>
    </w:rPr>
  </w:style>
  <w:style w:type="paragraph" w:styleId="CLASSIFICAZIONEFOOTER" w:customStyle="1">
    <w:name w:val="CLASSIFICAZIONEFOOTER"/>
    <w:uiPriority w:val="1"/>
    <w:semiHidden/>
    <w:unhideWhenUsed/>
    <w:qFormat/>
    <w:locked/>
    <w:pPr>
      <w:widowControl/>
      <w:bidi w:val="0"/>
      <w:spacing w:lineRule="auto" w:line="259" w:before="0" w:after="160"/>
      <w:jc w:val="left"/>
    </w:pPr>
    <w:rPr>
      <w:rFonts w:ascii="Calibri" w:hAnsi="Calibri" w:eastAsia="Calibri" w:cs=""/>
      <w:color w:val="000000" w:themeColor="dark1"/>
      <w:kern w:val="0"/>
      <w:sz w:val="18"/>
      <w:szCs w:val="22"/>
      <w:lang w:val="it-IT" w:eastAsia="en-US" w:bidi="ar-SA"/>
    </w:rPr>
  </w:style>
  <w:style w:type="paragraph" w:styleId="CLASSIFICAZIONEBODY" w:customStyle="1">
    <w:name w:val="CLASSIFICAZIONEBODY"/>
    <w:uiPriority w:val="1"/>
    <w:semiHidden/>
    <w:unhideWhenUsed/>
    <w:qFormat/>
    <w:locked/>
    <w:pPr>
      <w:widowControl/>
      <w:bidi w:val="0"/>
      <w:spacing w:lineRule="auto" w:line="259" w:before="0" w:after="160"/>
      <w:jc w:val="both"/>
    </w:pPr>
    <w:rPr>
      <w:rFonts w:ascii="Calibri" w:hAnsi="Calibri" w:eastAsia="Calibri" w:cs=""/>
      <w:b/>
      <w:color w:val="000000" w:themeColor="dark1"/>
      <w:kern w:val="0"/>
      <w:sz w:val="20"/>
      <w:szCs w:val="22"/>
      <w:lang w:val="it-IT" w:eastAsia="en-US" w:bidi="ar-SA"/>
    </w:rPr>
  </w:style>
  <w:style w:type="paragraph" w:styleId="Default">
    <w:name w:val="Default"/>
    <w:qFormat/>
    <w:pPr>
      <w:widowControl/>
      <w:bidi w:val="0"/>
      <w:jc w:val="left"/>
    </w:pPr>
    <w:rPr>
      <w:rFonts w:ascii="Calibri" w:hAnsi="Calibri" w:eastAsia="Calibri" w:cs=""/>
      <w:color w:val="000000"/>
      <w:kern w:val="0"/>
      <w:sz w:val="24"/>
      <w:szCs w:val="22"/>
      <w:lang w:val="it-IT" w:eastAsia="en-US" w:bidi="ar-SA"/>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39"/>
    <w:rsid w:val="003a6ca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2.wmf"/><Relationship Id="rId2" Type="http://schemas.openxmlformats.org/officeDocument/2006/relationships/image" Target="media/image3.wmf"/>
</Relationships>
</file>

<file path=word/_rels/header1.xml.rels><?xml version="1.0" encoding="UTF-8"?>
<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Application>LibreOffice/6.2.3.2$Windows_X86_64 LibreOffice_project/aecc05fe267cc68dde00352a451aa867b3b546ac</Application>
  <Pages>1</Pages>
  <Words>262</Words>
  <Characters>1742</Characters>
  <CharactersWithSpaces>2001</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2023-01-31T09:00:00Z</dcterms:created>
  <dc:creator>Daniele Valurta</dc:creator>
  <dc:description/>
  <dc:language>it-IT</dc:language>
  <cp:lastModifiedBy/>
  <dcterms:modified xsi:type="dcterms:W3CDTF">2025-02-20T12:26:02Z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FVersion">
    <vt:lpwstr>workspace://SpacesStore/53e63f72-20bb-4b03-aa99-fc5abaad68cb</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0</vt:bool>
  </property>
  <property fmtid="{D5CDD505-2E9C-101B-9397-08002B2CF9AE}" pid="6" name="IDALFREF">
    <vt:lpwstr>workspace://SpacesStore/3d36c422-8a5a-47b4-86ed-303f092a8c04</vt:lpwstr>
  </property>
  <property fmtid="{D5CDD505-2E9C-101B-9397-08002B2CF9AE}" pid="7" name="LinksUpToDate">
    <vt:bool>0</vt:bool>
  </property>
  <property fmtid="{D5CDD505-2E9C-101B-9397-08002B2CF9AE}" pid="8" name="MajorVersion">
    <vt:lpwstr>2</vt:lpwstr>
  </property>
  <property fmtid="{D5CDD505-2E9C-101B-9397-08002B2CF9AE}" pid="9" name="MinorVersion">
    <vt:lpwstr>1</vt:lpwstr>
  </property>
  <property fmtid="{D5CDD505-2E9C-101B-9397-08002B2CF9AE}" pid="10" name="NomeTemplate">
    <vt:lpwstr>ALL11SDA</vt:lpwstr>
  </property>
  <property fmtid="{D5CDD505-2E9C-101B-9397-08002B2CF9AE}" pid="11" name="ScaleCrop">
    <vt:bool>0</vt:bool>
  </property>
  <property fmtid="{D5CDD505-2E9C-101B-9397-08002B2CF9AE}" pid="12" name="ShareDoc">
    <vt:bool>0</vt:bool>
  </property>
</Properties>
</file>